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DCF" w:rsidRDefault="003D5C0C">
      <w:pPr>
        <w:rPr>
          <w:rFonts w:ascii="Times New Roman" w:hAnsi="Times New Roman" w:cs="Times New Roman"/>
        </w:rPr>
      </w:pPr>
      <w:bookmarkStart w:id="0" w:name="_GoBack"/>
      <w:bookmarkEnd w:id="0"/>
    </w:p>
    <w:p w:rsidR="002D6DCF" w:rsidRDefault="003D5C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содержанию, составу заявки на участие в электронном аукционе</w:t>
      </w:r>
    </w:p>
    <w:p w:rsidR="002D6DCF" w:rsidRDefault="003D5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Для участия в конкурентном способе заявка на участие в закупке, если иное не предусмотрено Законом 44-ФЗ, должна содержать:</w:t>
      </w:r>
    </w:p>
    <w:p w:rsidR="002D6DCF" w:rsidRDefault="003D5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9718"/>
      </w:tblGrid>
      <w:tr w:rsidR="0058705B">
        <w:tc>
          <w:tcPr>
            <w:tcW w:w="9718" w:type="dxa"/>
          </w:tcPr>
          <w:p w:rsidR="002D6DCF" w:rsidRDefault="003D5C0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Информацию и документы об участнике закупки: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</w:t>
            </w:r>
            <w:r>
              <w:rPr>
                <w:rFonts w:ascii="Times New Roman" w:hAnsi="Times New Roman" w:cs="Times New Roman"/>
              </w:rPr>
              <w:t xml:space="preserve">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</w:t>
            </w:r>
            <w:r>
              <w:rPr>
                <w:rFonts w:ascii="Times New Roman" w:hAnsi="Times New Roman" w:cs="Times New Roman"/>
              </w:rPr>
              <w:t>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</w:t>
            </w:r>
            <w:r>
              <w:rPr>
                <w:rFonts w:ascii="Times New Roman" w:hAnsi="Times New Roman" w:cs="Times New Roman"/>
              </w:rPr>
              <w:t xml:space="preserve">тво (при наличии) (если участником закупки является физическое лицо, в том числе зарегистрированное в качестве индивидуального предпринимателя). </w:t>
            </w:r>
          </w:p>
          <w:p w:rsidR="00A66E05" w:rsidRPr="00ED15DC" w:rsidRDefault="003D5C0C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</w:t>
            </w:r>
            <w:r>
              <w:rPr>
                <w:rFonts w:ascii="Times New Roman" w:hAnsi="Times New Roman" w:cs="Times New Roman"/>
                <w:b/>
              </w:rPr>
              <w:t xml:space="preserve">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</w:t>
            </w:r>
            <w:r>
              <w:rPr>
                <w:rFonts w:ascii="Times New Roman" w:hAnsi="Times New Roman" w:cs="Times New Roman"/>
                <w:b/>
              </w:rPr>
              <w:t>формационной системой (п.2 ч.6 ст.43 Закона 44-ФЗ)</w:t>
            </w:r>
          </w:p>
          <w:p w:rsidR="00ED15DC" w:rsidRPr="007A6CD0" w:rsidRDefault="003D5C0C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ED15DC" w:rsidRPr="00EA0D8B" w:rsidRDefault="003D5C0C" w:rsidP="00EA0D8B">
            <w:pPr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  <w:highlight w:val="yellow"/>
              </w:rPr>
            </w:pP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 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</w:t>
            </w:r>
            <w:r>
              <w:rPr>
                <w:rFonts w:ascii="Times New Roman" w:hAnsi="Times New Roman" w:cs="Times New Roman"/>
              </w:rPr>
              <w:t>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</w:t>
            </w:r>
          </w:p>
          <w:p w:rsidR="002D6DCF" w:rsidRDefault="003D5C0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</w:t>
            </w:r>
            <w:r>
              <w:rPr>
                <w:rFonts w:ascii="Times New Roman" w:hAnsi="Times New Roman" w:cs="Times New Roman"/>
                <w:b/>
              </w:rPr>
              <w:t xml:space="preserve">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</w:t>
            </w:r>
            <w:r>
              <w:rPr>
                <w:rFonts w:ascii="Times New Roman" w:hAnsi="Times New Roman" w:cs="Times New Roman"/>
                <w:b/>
              </w:rPr>
              <w:t>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 адрес юридического лица, в том числе иностранного юридического лица (если участником закупки является юридическое лицо) в пределах</w:t>
            </w:r>
            <w:r>
              <w:rPr>
                <w:rFonts w:ascii="Times New Roman" w:hAnsi="Times New Roman" w:cs="Times New Roman"/>
              </w:rPr>
              <w:t xml:space="preserve">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</w:t>
            </w:r>
            <w:r>
              <w:rPr>
                <w:rFonts w:ascii="Times New Roman" w:hAnsi="Times New Roman" w:cs="Times New Roman"/>
              </w:rPr>
              <w:t>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</w:t>
            </w:r>
            <w:r>
              <w:rPr>
                <w:rFonts w:ascii="Times New Roman" w:hAnsi="Times New Roman" w:cs="Times New Roman"/>
              </w:rPr>
              <w:t>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</w:t>
            </w:r>
          </w:p>
          <w:p w:rsidR="002D6DCF" w:rsidRDefault="003D5C0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</w:t>
            </w:r>
            <w:r>
              <w:rPr>
                <w:rFonts w:ascii="Times New Roman" w:hAnsi="Times New Roman" w:cs="Times New Roman"/>
                <w:b/>
              </w:rPr>
              <w:t>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</w:t>
            </w:r>
            <w:r>
              <w:rPr>
                <w:rFonts w:ascii="Times New Roman" w:hAnsi="Times New Roman" w:cs="Times New Roman"/>
                <w:b/>
              </w:rPr>
              <w:t>рмационного взаимодействия с единой информационной системой (п.2 ч.6 ст.43 Закона 44-ФЗ)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</w:t>
            </w:r>
            <w:r>
              <w:rPr>
                <w:rFonts w:ascii="Times New Roman" w:hAnsi="Times New Roman" w:cs="Times New Roman"/>
              </w:rPr>
              <w:t>цом, не являющимся индивидуальным предпринимателем)</w:t>
            </w:r>
          </w:p>
          <w:p w:rsidR="002D6DCF" w:rsidRDefault="003D5C0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 идентификационный номер налогоплатель</w:t>
            </w:r>
            <w:r>
              <w:rPr>
                <w:rFonts w:ascii="Times New Roman" w:hAnsi="Times New Roman" w:cs="Times New Roman"/>
              </w:rPr>
              <w:t>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</w:t>
            </w:r>
            <w:r>
              <w:rPr>
                <w:rFonts w:ascii="Times New Roman" w:hAnsi="Times New Roman" w:cs="Times New Roman"/>
              </w:rPr>
              <w:t xml:space="preserve">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</w:t>
            </w:r>
            <w:r>
              <w:rPr>
                <w:rFonts w:ascii="Times New Roman" w:hAnsi="Times New Roman" w:cs="Times New Roman"/>
              </w:rPr>
              <w:t>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</w:t>
            </w:r>
            <w:r>
              <w:rPr>
                <w:rFonts w:ascii="Times New Roman" w:hAnsi="Times New Roman" w:cs="Times New Roman"/>
              </w:rPr>
              <w:t>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</w:t>
            </w:r>
            <w:r>
              <w:rPr>
                <w:rFonts w:ascii="Times New Roman" w:hAnsi="Times New Roman" w:cs="Times New Roman"/>
              </w:rPr>
              <w:t>упает обособленное подразделение юридического лица)</w:t>
            </w:r>
          </w:p>
          <w:p w:rsidR="00D8055A" w:rsidRDefault="003D5C0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1.6. выписка из единого государственного </w:t>
            </w:r>
            <w:r>
              <w:rPr>
                <w:rFonts w:ascii="Times New Roman" w:hAnsi="Times New Roman" w:cs="Times New Roman"/>
              </w:rPr>
              <w:t>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</w:t>
            </w:r>
          </w:p>
          <w:p w:rsidR="00D8055A" w:rsidRDefault="003D5C0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</w:t>
            </w:r>
            <w:r>
              <w:rPr>
                <w:rFonts w:ascii="Times New Roman" w:hAnsi="Times New Roman" w:cs="Times New Roman"/>
                <w:b/>
              </w:rPr>
              <w:t>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</w:t>
            </w:r>
            <w:r>
              <w:rPr>
                <w:rFonts w:ascii="Times New Roman" w:hAnsi="Times New Roman" w:cs="Times New Roman"/>
                <w:b/>
              </w:rPr>
              <w:t>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 надлежащим образом заверенный перевод на русский язык документов о государственной регистрации юридического лица или физическо</w:t>
            </w:r>
            <w:r>
              <w:rPr>
                <w:rFonts w:ascii="Times New Roman" w:hAnsi="Times New Roman" w:cs="Times New Roman"/>
              </w:rPr>
              <w:t>го лица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</w:t>
            </w:r>
          </w:p>
          <w:p w:rsidR="00D8055A" w:rsidRDefault="003D5C0C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</w:t>
            </w:r>
            <w:r>
              <w:rPr>
                <w:rFonts w:ascii="Times New Roman" w:hAnsi="Times New Roman" w:cs="Times New Roman"/>
                <w:b/>
              </w:rPr>
              <w:t>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</w:t>
            </w:r>
            <w:r>
              <w:rPr>
                <w:rFonts w:ascii="Times New Roman" w:hAnsi="Times New Roman" w:cs="Times New Roman"/>
                <w:b/>
              </w:rPr>
              <w:t>одействия с единой информационной системой (п.2 ч.6 ст.43 Закона 44-ФЗ)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 решение о согласии на совершение или о последующем одобрении крупной сделки, если требование о наличии такого решения установлено законодательством РФ, учредительными документами</w:t>
            </w:r>
            <w:r>
              <w:rPr>
                <w:rFonts w:ascii="Times New Roman" w:hAnsi="Times New Roman" w:cs="Times New Roman"/>
              </w:rPr>
              <w:t xml:space="preserve">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</w:t>
            </w:r>
            <w:r>
              <w:rPr>
                <w:rFonts w:ascii="Times New Roman" w:hAnsi="Times New Roman" w:cs="Times New Roman"/>
              </w:rPr>
              <w:t>я контракта является крупной сделкой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1.9. декларация о соответствии участника закупки требованиям, установленным </w:t>
            </w:r>
            <w:r>
              <w:rPr>
                <w:rFonts w:ascii="Times New Roman" w:hAnsi="Times New Roman" w:cs="Times New Roman"/>
                <w:color w:val="0000FF"/>
              </w:rPr>
              <w:t>п. 3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11 ч. 1 ст. 31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1.10</w:t>
            </w:r>
            <w:r>
              <w:rPr>
                <w:rFonts w:ascii="Times New Roman" w:hAnsi="Times New Roman" w:cs="Times New Roman"/>
                <w:bCs/>
              </w:rPr>
              <w:t xml:space="preserve"> идентификационный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ко</w:t>
            </w:r>
            <w:r>
              <w:rPr>
                <w:rFonts w:ascii="Times New Roman" w:hAnsi="Times New Roman" w:cs="Times New Roman"/>
                <w:bCs/>
              </w:rPr>
              <w:t xml:space="preserve">рпоративного юридического лица, владеющих более чем двадцатью пятью процентами акций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(долей, паев) корпоративного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</w:t>
            </w:r>
            <w:r>
              <w:rPr>
                <w:rFonts w:ascii="Times New Roman" w:hAnsi="Times New Roman" w:cs="Times New Roman"/>
                <w:bCs/>
              </w:rPr>
              <w:t>налог идентификационного номера налогоплательщика таких лиц.</w:t>
            </w:r>
          </w:p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</w:t>
            </w:r>
            <w:r>
              <w:rPr>
                <w:rFonts w:ascii="Times New Roman" w:hAnsi="Times New Roman" w:cs="Times New Roman"/>
                <w:b/>
              </w:rPr>
              <w:t>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1.11. реквизиты счета участника з</w:t>
            </w:r>
            <w:r>
              <w:rPr>
                <w:rFonts w:ascii="Times New Roman" w:hAnsi="Times New Roman" w:cs="Times New Roman"/>
              </w:rPr>
              <w:t>акупки, на который в соответствии с законодательством РФ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</w:t>
            </w:r>
            <w:r>
              <w:rPr>
                <w:rFonts w:ascii="Times New Roman" w:hAnsi="Times New Roman" w:cs="Times New Roman"/>
              </w:rPr>
              <w:t>ем случаев, если в соответствии с законодательством РФ такой счет открывается после заключения контракта.</w:t>
            </w:r>
          </w:p>
        </w:tc>
      </w:tr>
      <w:tr w:rsidR="0058705B">
        <w:tc>
          <w:tcPr>
            <w:tcW w:w="9718" w:type="dxa"/>
          </w:tcPr>
          <w:p w:rsidR="00D8055A" w:rsidRDefault="003D5C0C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 –</w:t>
            </w:r>
          </w:p>
        </w:tc>
      </w:tr>
      <w:tr w:rsidR="0058705B">
        <w:trPr>
          <w:trHeight w:val="90"/>
        </w:trPr>
        <w:tc>
          <w:tcPr>
            <w:tcW w:w="9718" w:type="dxa"/>
          </w:tcPr>
          <w:p w:rsidR="002D6DCF" w:rsidRDefault="003D5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1.13. декларация о принадлежности участника закупки к организации инвалидов, предусмотренной </w:t>
            </w:r>
            <w:r>
              <w:rPr>
                <w:rFonts w:ascii="Times New Roman" w:hAnsi="Times New Roman" w:cs="Times New Roman"/>
                <w:color w:val="0000FF"/>
              </w:rPr>
              <w:t>ч. 2 ст. 29</w:t>
            </w:r>
            <w:r>
              <w:rPr>
                <w:rFonts w:ascii="Times New Roman" w:hAnsi="Times New Roman" w:cs="Times New Roman"/>
              </w:rPr>
              <w:t xml:space="preserve"> Закона 44-ФЗ (если участник закупки</w:t>
            </w:r>
            <w:r>
              <w:rPr>
                <w:rFonts w:ascii="Times New Roman" w:hAnsi="Times New Roman" w:cs="Times New Roman"/>
              </w:rPr>
              <w:t xml:space="preserve"> является такой организацией)</w:t>
            </w:r>
          </w:p>
          <w:p w:rsidR="0058705B" w:rsidRDefault="003D5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</w:t>
            </w:r>
            <w:r>
              <w:rPr>
                <w:rFonts w:ascii="Times New Roman" w:hAnsi="Times New Roman" w:cs="Times New Roman"/>
                <w:b/>
              </w:rPr>
              <w:t>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58705B">
        <w:tc>
          <w:tcPr>
            <w:tcW w:w="9718" w:type="dxa"/>
          </w:tcPr>
          <w:p w:rsidR="002D6DCF" w:rsidRDefault="003D5C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1.14.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</w:t>
            </w:r>
            <w:r>
              <w:rPr>
                <w:rFonts w:ascii="Times New Roman" w:hAnsi="Times New Roman" w:cs="Times New Roman"/>
                <w:color w:val="0000FF"/>
              </w:rPr>
              <w:t>ч. 3 ст. 30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  <w:p w:rsidR="0058705B" w:rsidRDefault="003D5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</w:t>
            </w:r>
            <w:r>
              <w:rPr>
                <w:rFonts w:ascii="Times New Roman" w:hAnsi="Times New Roman" w:cs="Times New Roman"/>
                <w:b/>
              </w:rPr>
              <w:t>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</w:t>
            </w:r>
            <w:r>
              <w:rPr>
                <w:rFonts w:ascii="Times New Roman" w:hAnsi="Times New Roman" w:cs="Times New Roman"/>
                <w:b/>
              </w:rPr>
              <w:t>формационного взаимодействия с единой информационной системой (п.2 ч.6 ст.43 Закона 44-ФЗ)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705B">
        <w:tc>
          <w:tcPr>
            <w:tcW w:w="9718" w:type="dxa"/>
          </w:tcPr>
          <w:p w:rsidR="002D6DCF" w:rsidRDefault="003D5C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3D5C0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1.15-</w:t>
            </w:r>
          </w:p>
          <w:p w:rsidR="0058705B" w:rsidRDefault="0058705B">
            <w:pPr>
              <w:jc w:val="both"/>
              <w:rPr>
                <w:rFonts w:ascii="Times New Roman" w:hAnsi="Times New Roman" w:cs="Times New Roman"/>
              </w:rPr>
            </w:pPr>
          </w:p>
          <w:p w:rsidR="002D6DCF" w:rsidRDefault="003D5C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705B">
        <w:trPr>
          <w:trHeight w:val="537"/>
        </w:trPr>
        <w:tc>
          <w:tcPr>
            <w:tcW w:w="9718" w:type="dxa"/>
          </w:tcPr>
          <w:p w:rsidR="002D6DCF" w:rsidRDefault="003D5C0C" w:rsidP="00706BD4">
            <w:pPr>
              <w:spacing w:after="0" w:line="240" w:lineRule="auto"/>
              <w:ind w:firstLineChars="150" w:firstLine="3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документы, подтверждающие соответствие участника закупки дополнительным требованиям, установленным в соответствии </w:t>
            </w:r>
            <w:r>
              <w:rPr>
                <w:rFonts w:ascii="Times New Roman" w:hAnsi="Times New Roman" w:cs="Times New Roman"/>
                <w:color w:val="0000FF"/>
              </w:rPr>
              <w:t xml:space="preserve">с ч. 2 и 2.1 </w:t>
            </w:r>
            <w:r>
              <w:rPr>
                <w:rFonts w:ascii="Times New Roman" w:hAnsi="Times New Roman" w:cs="Times New Roman"/>
              </w:rPr>
              <w:t xml:space="preserve">(при наличии таких </w:t>
            </w:r>
            <w:r>
              <w:rPr>
                <w:rFonts w:ascii="Times New Roman" w:hAnsi="Times New Roman" w:cs="Times New Roman"/>
              </w:rPr>
              <w:t>требований) ст. 31 Закона 44-ФЗ, если иное не предусмотрено Закона 44-ФЗ.</w:t>
            </w:r>
          </w:p>
          <w:p w:rsidR="002D6DCF" w:rsidRDefault="003D5C0C">
            <w:pPr>
              <w:spacing w:after="0" w:line="240" w:lineRule="auto"/>
              <w:ind w:firstLineChars="150" w:firstLine="330"/>
              <w:jc w:val="both"/>
              <w:rPr>
                <w:rFonts w:ascii="Times New Roman" w:hAnsi="Times New Roman" w:cs="Times New Roman"/>
              </w:rPr>
            </w:pP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Постановлением Правительства РФ от 29.12.2021 № 2571 «О требованиях к участникам закупки товаров, работ, услуг для обеспечения государственных и муниципальных нужд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признании утратившими силу некоторых актов и отдельных положений актов Правительства Российской Федерации» к участникам закупок отдельных видов товаров, работ, услуг устанавливаются дополнительные требования: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1) наличие опыта исполнения участником закуп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договора, предусматривающего оказание услуг общественного питания и (или) поставки пищевых продуктов. Цена оказанных услуг и (или) поставленных товаров по договору должна составлять не менее 20 процентов начальной (максимальной) цены контракта, заключае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мого по результатам определения поставщика (подрядчика, исполнителя);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отсутствие у участника закупки, являющегося физическим лицом, либо у руководителя, членов коллегиального исполнительного органа, лица, исполняющего функции единоличного исполнительног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органа, главного бухгалтера участника закупки, являющегося юридическим лицом,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судимости за преступления, предусмотренные статьей 236 Уголовного кодекса Российской Федерации (за исключением лиц, у которых такая судимость погашена или снята);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непривлече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участника закупки, являющегося физическим лицом, либо руководителя, членов коллегиального исполнительного органа, лица, исполняющего функции единоличного исполнительного органа, главного бухгалтера участника закупки, являющегося юридическим лицом, к ад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министративной ответственности за совершение административных правонарушений, предусмотренных статьями 6.3, 6.5 - 6.7, 14.43, 14.44 - 14.46.2 Кодекса Российской Федерации об административных правонарушениях;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отсутствие в предусмотренном Федеральным зако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реестре недобросовестных поставщиков (подрядчиков, исполнителей) информации об участнике закупки, в том числе о лицах, информация о котор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ых содержится в заявке на участие в закупке в соответствии с подпунктом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1 части 1 статьи 43 указанного Федерального закона.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предусмотрено несколько видов опыта выполнения работ, то соответствующим требованию о наличии опыта выполнения работ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является участник закупки, обладающий хотя бы одним из таких видов опыта.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и документы, подтверждающие соответствие участников закупки дополнительным требованиям: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1.1) исполненный договор;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1.2) акт приемки оказанных услуг и (или) поставленных то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варов, подтверждающий цену оказанных услуг и (или) поставленных товаров;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1.3) справка об отсутствии у участника закупки, являющегося физическим лицом, либо у руководителя, членов коллегиального исполнительного органа, лица, исполняющего функции единоличног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исполнительного органа, главного бухгалтера участника закупки, являющегося юридическим лицом, судимости за преступления, предусмотренные статьей 236 Уголовного кодекса Российской Федерации;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1.4) декларация участника закупки о непривлечении участника заку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пки, являющегося физическим лицом, либо руководителя, членов коллегиального исполнительного органа, лица, исполняющего функции единоличного исполнительного органа, главного бухгалтера участника закупки, являющегося юридическим лицом, к административной отв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етственности за совершение административных правонарушений, предусмотренных статьями 6.3, 6.5 - 6.7, 14.43, 14.44 - 14.46.2 Кодекса Российской Федерации об административных правонарушениях.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Договором считается контракт, заключенный и исполненный в соответс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твии с Законом о контрактной системе, либо договор, заключенный и исполненный в соответствии с Федеральным законом «О закупках товаров, работ, услуг отдельными видами юридических лиц».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считается опыт исполнения участником закупк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договора, предметом которого являются поставка одного или нескольких товаров, выполнение одной или нескольких работ, оказание одной или нескольких услуг;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считается такой опыт участника закупки за 5 лет до дня окончания срока п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одачи заявок на участие в закупке с учетом правопреемства (в случае наличия подтверждающего документа).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Ценой поставленных товаров, выполненных работ, оказанных услуг по договору считается общая цена (сумма цен) товаров, работ, услуг, указанная в акте (акт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ах) приемки поставленных товаров, выполненных работ, оказанных услуг. Если при исполнении такого договора составлено несколько актов приемки поставленных товаров, выполненных работ, оказанных услуг, участниками закупки направляются в соответствии с требова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Закона о контрактной системе все такие акты;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и документы, подтверждающие соответствие участников закупки дополнительным требованиям, направляются участниками закупки в соответствии с требованиями Закона о контрактной системе в полном объем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и со всеми приложениями, за исключением случаев, предусмотренных абзацами шестым и седьмым подпункта «г» пункта 3 Постановления Правительства РФ от 29.12.2021 N 2571. Такие информация и документы направляются в форме электронных документов или в форме эл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ектронных образов бумажных документов;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Если информация и документы, подтверждающие соответствие участников закупки дополнительным требованиям, содержатся в открытых и общедоступных государственных реестрах, размещенных в информационно-телекоммуникационной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сети «Интернет»,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информационно-телекоммуникационной сети «Интернет»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таких документов, вместо напра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наличия противоречий между информацией, содержащейся в единой информационной системе, и и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нформацией, содержащейся в документах, направляемых участниками закупки, приоритет имеет информация, содержащаяся в единой информационной системе;</w:t>
            </w:r>
          </w:p>
          <w:p w:rsidR="00D51FC1" w:rsidRPr="00D51FC1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также считается опыт исполнения контрактов, исполненных участником закупки по рез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ультатам проведения совместного конкурса или аукциона. При этом ценой поставленных товаров, выполненных работ, оказанных услуг считается сумма цен товаров, работ, услуг, поставленных, выполненных, оказанных по таким контрактам;</w:t>
            </w:r>
          </w:p>
          <w:p w:rsidR="002D6DCF" w:rsidRDefault="003D5C0C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Такие документы в случаях,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предусмотренных Законом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  <w:p w:rsidR="002D6DCF" w:rsidRDefault="003D5C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Такие документы в случаях, предусмотренных Законом 4</w:t>
            </w:r>
            <w:r>
              <w:rPr>
                <w:rFonts w:ascii="Times New Roman" w:hAnsi="Times New Roman" w:cs="Times New Roman"/>
                <w:b/>
              </w:rPr>
              <w:t>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  <w:p w:rsidR="0058705B" w:rsidRDefault="003D5C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и документы, подтверждающие соответствие участников закупки </w:t>
            </w:r>
            <w:r>
              <w:rPr>
                <w:rFonts w:ascii="Times New Roman" w:hAnsi="Times New Roman" w:cs="Times New Roman"/>
              </w:rPr>
              <w:t xml:space="preserve">дополнительным требованиям, акт выполненных работ, подтверждающий цену выполненных работ и являющийся последним актом, составленным при исполнении такого договора должен быть подписан не ранее чем за 5 лет до дня окончания срока подачи заявок на участие в </w:t>
            </w:r>
            <w:r>
              <w:rPr>
                <w:rFonts w:ascii="Times New Roman" w:hAnsi="Times New Roman" w:cs="Times New Roman"/>
              </w:rPr>
              <w:t>закупке.</w:t>
            </w:r>
          </w:p>
          <w:p w:rsidR="004A1E28" w:rsidRDefault="003D5C0C" w:rsidP="004A1E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D6DCF" w:rsidRDefault="003D5C0C">
            <w:pPr>
              <w:rPr>
                <w:rFonts w:ascii="Times New Roman" w:hAnsi="Times New Roman" w:cs="Times New Roman"/>
              </w:rPr>
            </w:pPr>
          </w:p>
          <w:p w:rsidR="002D6DCF" w:rsidRDefault="003D5C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705B">
        <w:tc>
          <w:tcPr>
            <w:tcW w:w="9718" w:type="dxa"/>
          </w:tcPr>
          <w:p w:rsidR="002D6DCF" w:rsidRDefault="003D5C0C">
            <w:pPr>
              <w:spacing w:after="0" w:line="240" w:lineRule="auto"/>
              <w:ind w:firstLine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Предложение участника закупки в отношении объекта закупки:</w:t>
            </w:r>
          </w:p>
        </w:tc>
      </w:tr>
      <w:tr w:rsidR="0058705B">
        <w:trPr>
          <w:trHeight w:val="5821"/>
        </w:trPr>
        <w:tc>
          <w:tcPr>
            <w:tcW w:w="9718" w:type="dxa"/>
          </w:tcPr>
          <w:p w:rsidR="002D6DCF" w:rsidRDefault="003D5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В случае осуществления закупки товара, в том числе поставляемого заказчику при 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:rsidR="002D6DCF" w:rsidRDefault="003D5C0C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1.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ч. 2 ст. 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Закона 44-ФЗ, товарный знак (при наличии у товара товарного знака). Информация, предусмотренная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дпунктом «а» п. 2 ч.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ст. 43  Закона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ии закупаемых работ, оказании закупаемых услуг, обозначенного таким товарным знаком</w:t>
            </w:r>
          </w:p>
          <w:p w:rsidR="002D6DCF" w:rsidRDefault="003D5C0C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3D5C0C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2.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ч. 2 ст. 43  Зак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она 44-ФЗ</w:t>
            </w:r>
          </w:p>
          <w:p w:rsidR="002D6DCF" w:rsidRDefault="003D5C0C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3D5C0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58705B" w:rsidRDefault="0058705B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D6DCF" w:rsidRDefault="003D5C0C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150" w:firstLine="33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4. 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е в закупке</w:t>
            </w:r>
          </w:p>
          <w:p w:rsidR="002D6DCF" w:rsidRDefault="003D5C0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705B">
        <w:tc>
          <w:tcPr>
            <w:tcW w:w="9718" w:type="dxa"/>
            <w:tcMar>
              <w:left w:w="0" w:type="dxa"/>
              <w:right w:w="108" w:type="dxa"/>
            </w:tcMar>
          </w:tcPr>
          <w:p w:rsidR="00AB40EF" w:rsidRPr="00B53DC6" w:rsidRDefault="003D5C0C" w:rsidP="00B53DC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04B2B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Pr="00E04B2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0B7BF5" w:rsidRPr="008605FD" w:rsidRDefault="003D5C0C" w:rsidP="000B7BF5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="00210FD4" w:rsidRDefault="003D5C0C" w:rsidP="00210FD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10FD4" w:rsidRPr="00A74436" w:rsidRDefault="003D5C0C" w:rsidP="00210FD4">
            <w:pPr>
              <w:rPr>
                <w:rFonts w:ascii="Times New Roman" w:hAnsi="Times New Roman" w:cs="Times New Roman"/>
              </w:rPr>
            </w:pPr>
          </w:p>
          <w:p w:rsidR="000B7BF5" w:rsidRPr="00A74436" w:rsidRDefault="003D5C0C" w:rsidP="000B7BF5">
            <w:pPr>
              <w:rPr>
                <w:rFonts w:ascii="Times New Roman" w:hAnsi="Times New Roman" w:cs="Times New Roman"/>
                <w:lang w:val="en-US"/>
              </w:rPr>
            </w:pPr>
          </w:p>
          <w:p w:rsidR="002C19DF" w:rsidRPr="000B7BF5" w:rsidRDefault="003D5C0C" w:rsidP="000D79D5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2D6DCF" w:rsidRPr="0081444B" w:rsidRDefault="003D5C0C" w:rsidP="0081444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D6DCF" w:rsidRDefault="003D5C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3D5C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D6DCF" w:rsidRDefault="003D5C0C">
      <w:pPr>
        <w:pStyle w:val="a7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D6DCF" w:rsidRDefault="003D5C0C">
      <w:pPr>
        <w:jc w:val="center"/>
      </w:pPr>
    </w:p>
    <w:sectPr w:rsidR="002D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CC4"/>
    <w:multiLevelType w:val="multilevel"/>
    <w:tmpl w:val="18647C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CDD4EDB"/>
    <w:multiLevelType w:val="multilevel"/>
    <w:tmpl w:val="2CDD4ED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2398D"/>
    <w:multiLevelType w:val="hybridMultilevel"/>
    <w:tmpl w:val="420645C2"/>
    <w:lvl w:ilvl="0" w:tplc="8CD8A7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1E4A57C" w:tentative="1">
      <w:start w:val="1"/>
      <w:numFmt w:val="lowerLetter"/>
      <w:lvlText w:val="%2."/>
      <w:lvlJc w:val="left"/>
      <w:pPr>
        <w:ind w:left="1620" w:hanging="360"/>
      </w:pPr>
    </w:lvl>
    <w:lvl w:ilvl="2" w:tplc="F038249C" w:tentative="1">
      <w:start w:val="1"/>
      <w:numFmt w:val="lowerRoman"/>
      <w:lvlText w:val="%3."/>
      <w:lvlJc w:val="right"/>
      <w:pPr>
        <w:ind w:left="2340" w:hanging="180"/>
      </w:pPr>
    </w:lvl>
    <w:lvl w:ilvl="3" w:tplc="FD4AC93E" w:tentative="1">
      <w:start w:val="1"/>
      <w:numFmt w:val="decimal"/>
      <w:lvlText w:val="%4."/>
      <w:lvlJc w:val="left"/>
      <w:pPr>
        <w:ind w:left="3060" w:hanging="360"/>
      </w:pPr>
    </w:lvl>
    <w:lvl w:ilvl="4" w:tplc="EC3C6E0C" w:tentative="1">
      <w:start w:val="1"/>
      <w:numFmt w:val="lowerLetter"/>
      <w:lvlText w:val="%5."/>
      <w:lvlJc w:val="left"/>
      <w:pPr>
        <w:ind w:left="3780" w:hanging="360"/>
      </w:pPr>
    </w:lvl>
    <w:lvl w:ilvl="5" w:tplc="4934E7DA" w:tentative="1">
      <w:start w:val="1"/>
      <w:numFmt w:val="lowerRoman"/>
      <w:lvlText w:val="%6."/>
      <w:lvlJc w:val="right"/>
      <w:pPr>
        <w:ind w:left="4500" w:hanging="180"/>
      </w:pPr>
    </w:lvl>
    <w:lvl w:ilvl="6" w:tplc="2C2E2B08" w:tentative="1">
      <w:start w:val="1"/>
      <w:numFmt w:val="decimal"/>
      <w:lvlText w:val="%7."/>
      <w:lvlJc w:val="left"/>
      <w:pPr>
        <w:ind w:left="5220" w:hanging="360"/>
      </w:pPr>
    </w:lvl>
    <w:lvl w:ilvl="7" w:tplc="42E8272A" w:tentative="1">
      <w:start w:val="1"/>
      <w:numFmt w:val="lowerLetter"/>
      <w:lvlText w:val="%8."/>
      <w:lvlJc w:val="left"/>
      <w:pPr>
        <w:ind w:left="5940" w:hanging="360"/>
      </w:pPr>
    </w:lvl>
    <w:lvl w:ilvl="8" w:tplc="FE3037D0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A26730C"/>
    <w:multiLevelType w:val="hybridMultilevel"/>
    <w:tmpl w:val="7F3ED252"/>
    <w:lvl w:ilvl="0" w:tplc="152226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3C0500" w:tentative="1">
      <w:start w:val="1"/>
      <w:numFmt w:val="lowerLetter"/>
      <w:lvlText w:val="%2."/>
      <w:lvlJc w:val="left"/>
      <w:pPr>
        <w:ind w:left="1440" w:hanging="360"/>
      </w:pPr>
    </w:lvl>
    <w:lvl w:ilvl="2" w:tplc="4EA69BEE" w:tentative="1">
      <w:start w:val="1"/>
      <w:numFmt w:val="lowerRoman"/>
      <w:lvlText w:val="%3."/>
      <w:lvlJc w:val="right"/>
      <w:pPr>
        <w:ind w:left="2160" w:hanging="180"/>
      </w:pPr>
    </w:lvl>
    <w:lvl w:ilvl="3" w:tplc="9952726A" w:tentative="1">
      <w:start w:val="1"/>
      <w:numFmt w:val="decimal"/>
      <w:lvlText w:val="%4."/>
      <w:lvlJc w:val="left"/>
      <w:pPr>
        <w:ind w:left="2880" w:hanging="360"/>
      </w:pPr>
    </w:lvl>
    <w:lvl w:ilvl="4" w:tplc="AF84C7BA" w:tentative="1">
      <w:start w:val="1"/>
      <w:numFmt w:val="lowerLetter"/>
      <w:lvlText w:val="%5."/>
      <w:lvlJc w:val="left"/>
      <w:pPr>
        <w:ind w:left="3600" w:hanging="360"/>
      </w:pPr>
    </w:lvl>
    <w:lvl w:ilvl="5" w:tplc="AC606CC8" w:tentative="1">
      <w:start w:val="1"/>
      <w:numFmt w:val="lowerRoman"/>
      <w:lvlText w:val="%6."/>
      <w:lvlJc w:val="right"/>
      <w:pPr>
        <w:ind w:left="4320" w:hanging="180"/>
      </w:pPr>
    </w:lvl>
    <w:lvl w:ilvl="6" w:tplc="C084422E" w:tentative="1">
      <w:start w:val="1"/>
      <w:numFmt w:val="decimal"/>
      <w:lvlText w:val="%7."/>
      <w:lvlJc w:val="left"/>
      <w:pPr>
        <w:ind w:left="5040" w:hanging="360"/>
      </w:pPr>
    </w:lvl>
    <w:lvl w:ilvl="7" w:tplc="3C529418" w:tentative="1">
      <w:start w:val="1"/>
      <w:numFmt w:val="lowerLetter"/>
      <w:lvlText w:val="%8."/>
      <w:lvlJc w:val="left"/>
      <w:pPr>
        <w:ind w:left="5760" w:hanging="360"/>
      </w:pPr>
    </w:lvl>
    <w:lvl w:ilvl="8" w:tplc="064CE3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05B"/>
    <w:rsid w:val="003D5C0C"/>
    <w:rsid w:val="005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C042B-E7C0-4190-A486-7F55EF7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DC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954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F1264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1264B"/>
    <w:rPr>
      <w:rFonts w:asciiTheme="minorHAnsi" w:eastAsiaTheme="minorHAnsi" w:hAnsiTheme="minorHAnsi" w:cstheme="minorBidi"/>
      <w:lang w:eastAsia="en-US"/>
    </w:rPr>
  </w:style>
  <w:style w:type="character" w:styleId="ab">
    <w:name w:val="footnote reference"/>
    <w:basedOn w:val="a0"/>
    <w:uiPriority w:val="99"/>
    <w:semiHidden/>
    <w:unhideWhenUsed/>
    <w:rsid w:val="00F12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9FCDAD4F-B56E-42C1-8851-DD91AA0E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Преловская</dc:creator>
  <cp:lastModifiedBy>Спец1</cp:lastModifiedBy>
  <cp:revision>2</cp:revision>
  <cp:lastPrinted>2022-01-18T10:37:00Z</cp:lastPrinted>
  <dcterms:created xsi:type="dcterms:W3CDTF">2025-10-16T11:06:00Z</dcterms:created>
  <dcterms:modified xsi:type="dcterms:W3CDTF">2025-10-16T11:06:00Z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7B2226113DE245BC86087738BFF32D96</vt:lpwstr>
  </property>
  <property fmtid="{D5CDD505-2E9C-101B-9397-08002B2CF9AE}" pid="3" name="KSOProductBuildVer">
    <vt:lpwstr>1049-12.2.0.16909</vt:lpwstr>
  </property>
</Properties>
</file>